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9B" w:rsidRPr="009D76D3" w:rsidRDefault="009D76D3">
      <w:pPr>
        <w:rPr>
          <w:b/>
        </w:rPr>
      </w:pPr>
      <w:r w:rsidRPr="009D76D3">
        <w:rPr>
          <w:b/>
        </w:rPr>
        <w:t xml:space="preserve">Table </w:t>
      </w:r>
      <w:r w:rsidR="00094731">
        <w:rPr>
          <w:b/>
        </w:rPr>
        <w:t>V</w:t>
      </w:r>
      <w:r w:rsidRPr="009D76D3">
        <w:rPr>
          <w:b/>
        </w:rPr>
        <w:t>.  Recommended D</w:t>
      </w:r>
      <w:bookmarkStart w:id="0" w:name="_GoBack"/>
      <w:bookmarkEnd w:id="0"/>
      <w:r w:rsidRPr="009D76D3">
        <w:rPr>
          <w:b/>
        </w:rPr>
        <w:t>oses of Antibiotics to Treat Common Causes of Infective Endocarditis</w:t>
      </w:r>
    </w:p>
    <w:p w:rsidR="009D76D3" w:rsidRPr="009D76D3" w:rsidRDefault="009D76D3">
      <w:pPr>
        <w:rPr>
          <w:sz w:val="20"/>
          <w:szCs w:val="20"/>
        </w:rPr>
      </w:pPr>
      <w:r w:rsidRPr="009D76D3">
        <w:rPr>
          <w:sz w:val="20"/>
          <w:szCs w:val="20"/>
        </w:rPr>
        <w:t>**Maximum daily dose or adult dose should not be exceeded when treating children on a per kilogram basis</w:t>
      </w:r>
    </w:p>
    <w:p w:rsidR="009D76D3" w:rsidRPr="009D76D3" w:rsidRDefault="009D76D3">
      <w:pPr>
        <w:rPr>
          <w:sz w:val="20"/>
          <w:szCs w:val="20"/>
        </w:rPr>
      </w:pPr>
      <w:r w:rsidRPr="009D76D3">
        <w:rPr>
          <w:sz w:val="20"/>
          <w:szCs w:val="20"/>
        </w:rPr>
        <w:t>+Where a range is indicated the upper dosage is used for more resistant infecting species, the lower dose is for synergy</w:t>
      </w:r>
    </w:p>
    <w:p w:rsidR="009D76D3" w:rsidRDefault="009D76D3"/>
    <w:tbl>
      <w:tblPr>
        <w:tblStyle w:val="LightShading"/>
        <w:tblW w:w="0" w:type="auto"/>
        <w:tblLook w:val="04A0"/>
      </w:tblPr>
      <w:tblGrid>
        <w:gridCol w:w="1876"/>
        <w:gridCol w:w="5122"/>
        <w:gridCol w:w="1858"/>
      </w:tblGrid>
      <w:tr w:rsidR="009D76D3" w:rsidTr="009D76D3">
        <w:trPr>
          <w:cnfStyle w:val="100000000000"/>
        </w:trPr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jc w:val="center"/>
            </w:pPr>
            <w:r>
              <w:rPr>
                <w:rStyle w:val="Strong"/>
                <w:snapToGrid w:val="0"/>
                <w:sz w:val="22"/>
                <w:szCs w:val="20"/>
              </w:rPr>
              <w:t>Antibiotic</w:t>
            </w:r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jc w:val="center"/>
              <w:cnfStyle w:val="100000000000"/>
            </w:pPr>
            <w:r>
              <w:rPr>
                <w:b w:val="0"/>
                <w:snapToGrid w:val="0"/>
                <w:sz w:val="22"/>
                <w:szCs w:val="20"/>
              </w:rPr>
              <w:t>Child Dosage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jc w:val="center"/>
              <w:cnfStyle w:val="100000000000"/>
            </w:pPr>
            <w:r>
              <w:rPr>
                <w:b w:val="0"/>
                <w:snapToGrid w:val="0"/>
                <w:sz w:val="22"/>
                <w:szCs w:val="20"/>
              </w:rPr>
              <w:t>Maximum daily dose**</w:t>
            </w:r>
          </w:p>
        </w:tc>
      </w:tr>
      <w:tr w:rsidR="009D76D3" w:rsidTr="009D76D3">
        <w:trPr>
          <w:cnfStyle w:val="000000100000"/>
        </w:trPr>
        <w:tc>
          <w:tcPr>
            <w:cnfStyle w:val="001000000000"/>
            <w:tcW w:w="8856" w:type="dxa"/>
            <w:gridSpan w:val="3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r>
              <w:rPr>
                <w:snapToGrid w:val="0"/>
                <w:sz w:val="20"/>
                <w:szCs w:val="20"/>
              </w:rPr>
              <w:t>Suggested doses for patients with normal renal function</w:t>
            </w:r>
          </w:p>
        </w:tc>
      </w:tr>
      <w:tr w:rsidR="009D76D3" w:rsidTr="009D76D3"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proofErr w:type="spellStart"/>
            <w:r>
              <w:rPr>
                <w:snapToGrid w:val="0"/>
                <w:sz w:val="20"/>
                <w:szCs w:val="20"/>
              </w:rPr>
              <w:t>Amikacin</w:t>
            </w:r>
            <w:proofErr w:type="spellEnd"/>
            <w:r>
              <w:rPr>
                <w:snapToGrid w:val="0"/>
                <w:sz w:val="20"/>
                <w:szCs w:val="20"/>
              </w:rPr>
              <w:t>*</w:t>
            </w:r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000000"/>
            </w:pPr>
            <w:r>
              <w:rPr>
                <w:snapToGrid w:val="0"/>
                <w:sz w:val="20"/>
                <w:szCs w:val="20"/>
              </w:rPr>
              <w:t>15 mg/kg/day intravenously divided every 8</w:t>
            </w:r>
            <w:r>
              <w:rPr>
                <w:snapToGrid w:val="0"/>
                <w:sz w:val="20"/>
                <w:szCs w:val="20"/>
              </w:rPr>
              <w:noBreakHyphen/>
              <w:t>12 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000000"/>
            </w:pPr>
            <w:r>
              <w:rPr>
                <w:snapToGrid w:val="0"/>
                <w:sz w:val="20"/>
                <w:szCs w:val="20"/>
              </w:rPr>
              <w:t>15 mg/kg</w:t>
            </w:r>
          </w:p>
        </w:tc>
      </w:tr>
      <w:tr w:rsidR="009D76D3" w:rsidTr="009D76D3">
        <w:trPr>
          <w:cnfStyle w:val="000000100000"/>
        </w:trPr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r>
              <w:rPr>
                <w:snapToGrid w:val="0"/>
                <w:sz w:val="20"/>
                <w:szCs w:val="20"/>
              </w:rPr>
              <w:t>Ampicillin</w:t>
            </w:r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100000"/>
            </w:pPr>
            <w:r>
              <w:rPr>
                <w:snapToGrid w:val="0"/>
                <w:sz w:val="20"/>
                <w:szCs w:val="20"/>
              </w:rPr>
              <w:t>200</w:t>
            </w:r>
            <w:r>
              <w:rPr>
                <w:snapToGrid w:val="0"/>
                <w:sz w:val="20"/>
                <w:szCs w:val="20"/>
              </w:rPr>
              <w:noBreakHyphen/>
              <w:t>300 mg/kg/day intravenously divided every 4</w:t>
            </w:r>
            <w:r>
              <w:rPr>
                <w:snapToGrid w:val="0"/>
                <w:sz w:val="20"/>
                <w:szCs w:val="20"/>
              </w:rPr>
              <w:noBreakHyphen/>
              <w:t>6 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100000"/>
            </w:pPr>
            <w:r>
              <w:rPr>
                <w:snapToGrid w:val="0"/>
                <w:sz w:val="20"/>
                <w:szCs w:val="20"/>
              </w:rPr>
              <w:t>12 g</w:t>
            </w:r>
          </w:p>
        </w:tc>
      </w:tr>
      <w:tr w:rsidR="009D76D3" w:rsidTr="009D76D3">
        <w:tc>
          <w:tcPr>
            <w:cnfStyle w:val="001000000000"/>
            <w:tcW w:w="1876" w:type="dxa"/>
            <w:hideMark/>
          </w:tcPr>
          <w:p w:rsidR="009D76D3" w:rsidRPr="009D76D3" w:rsidRDefault="009D76D3" w:rsidP="009D76D3">
            <w:pPr>
              <w:rPr>
                <w:sz w:val="20"/>
                <w:szCs w:val="20"/>
              </w:rPr>
            </w:pPr>
            <w:proofErr w:type="spellStart"/>
            <w:r w:rsidRPr="009D76D3">
              <w:rPr>
                <w:sz w:val="20"/>
                <w:szCs w:val="20"/>
              </w:rPr>
              <w:t>Ampicillin-sulbactam</w:t>
            </w:r>
            <w:proofErr w:type="spellEnd"/>
          </w:p>
        </w:tc>
        <w:tc>
          <w:tcPr>
            <w:tcW w:w="5122" w:type="dxa"/>
            <w:hideMark/>
          </w:tcPr>
          <w:p w:rsidR="009D76D3" w:rsidRPr="009D76D3" w:rsidRDefault="009D76D3" w:rsidP="009D76D3">
            <w:pPr>
              <w:cnfStyle w:val="000000000000"/>
              <w:rPr>
                <w:sz w:val="20"/>
                <w:szCs w:val="20"/>
              </w:rPr>
            </w:pPr>
            <w:r w:rsidRPr="009D76D3">
              <w:rPr>
                <w:sz w:val="20"/>
                <w:szCs w:val="20"/>
              </w:rPr>
              <w:t>300 mg/kg/day intravenously divided every 6 hours</w:t>
            </w:r>
          </w:p>
        </w:tc>
        <w:tc>
          <w:tcPr>
            <w:tcW w:w="1858" w:type="dxa"/>
            <w:hideMark/>
          </w:tcPr>
          <w:p w:rsidR="009D76D3" w:rsidRPr="009D76D3" w:rsidRDefault="009D76D3" w:rsidP="009D76D3">
            <w:pPr>
              <w:cnfStyle w:val="000000000000"/>
              <w:rPr>
                <w:sz w:val="20"/>
                <w:szCs w:val="20"/>
              </w:rPr>
            </w:pPr>
            <w:r w:rsidRPr="009D76D3">
              <w:rPr>
                <w:sz w:val="20"/>
                <w:szCs w:val="20"/>
              </w:rPr>
              <w:t>12 g</w:t>
            </w:r>
          </w:p>
        </w:tc>
      </w:tr>
      <w:tr w:rsidR="009D76D3" w:rsidTr="009D76D3">
        <w:trPr>
          <w:cnfStyle w:val="000000100000"/>
        </w:trPr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proofErr w:type="spellStart"/>
            <w:r>
              <w:rPr>
                <w:snapToGrid w:val="0"/>
                <w:sz w:val="20"/>
                <w:szCs w:val="20"/>
              </w:rPr>
              <w:t>Cefazolin</w:t>
            </w:r>
            <w:proofErr w:type="spellEnd"/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100000"/>
            </w:pPr>
            <w:r>
              <w:rPr>
                <w:snapToGrid w:val="0"/>
                <w:sz w:val="20"/>
                <w:szCs w:val="20"/>
              </w:rPr>
              <w:t>100 mg/kg/day intravenously divided every 8 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100000"/>
            </w:pPr>
            <w:r>
              <w:rPr>
                <w:snapToGrid w:val="0"/>
                <w:sz w:val="20"/>
                <w:szCs w:val="20"/>
              </w:rPr>
              <w:t>6 g</w:t>
            </w:r>
          </w:p>
        </w:tc>
      </w:tr>
      <w:tr w:rsidR="009D76D3" w:rsidTr="009D76D3"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proofErr w:type="spellStart"/>
            <w:r>
              <w:rPr>
                <w:snapToGrid w:val="0"/>
                <w:sz w:val="20"/>
                <w:szCs w:val="20"/>
              </w:rPr>
              <w:t>Cefotaxime</w:t>
            </w:r>
            <w:proofErr w:type="spellEnd"/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000000"/>
            </w:pPr>
            <w:r>
              <w:rPr>
                <w:snapToGrid w:val="0"/>
                <w:sz w:val="20"/>
                <w:szCs w:val="20"/>
              </w:rPr>
              <w:t>200 mg/kg/day intravenously divided every 6 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000000"/>
            </w:pPr>
            <w:r>
              <w:rPr>
                <w:snapToGrid w:val="0"/>
                <w:sz w:val="20"/>
                <w:szCs w:val="20"/>
              </w:rPr>
              <w:t>12 g</w:t>
            </w:r>
          </w:p>
        </w:tc>
      </w:tr>
      <w:tr w:rsidR="009D76D3" w:rsidTr="009D76D3">
        <w:trPr>
          <w:cnfStyle w:val="000000100000"/>
        </w:trPr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proofErr w:type="spellStart"/>
            <w:r>
              <w:rPr>
                <w:snapToGrid w:val="0"/>
                <w:sz w:val="20"/>
                <w:szCs w:val="20"/>
              </w:rPr>
              <w:t>Ceftazidime</w:t>
            </w:r>
            <w:proofErr w:type="spellEnd"/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100000"/>
            </w:pPr>
            <w:r>
              <w:rPr>
                <w:snapToGrid w:val="0"/>
                <w:sz w:val="20"/>
                <w:szCs w:val="20"/>
              </w:rPr>
              <w:t>100</w:t>
            </w:r>
            <w:r>
              <w:rPr>
                <w:snapToGrid w:val="0"/>
                <w:sz w:val="20"/>
                <w:szCs w:val="20"/>
              </w:rPr>
              <w:noBreakHyphen/>
              <w:t>150 mg/kg/day intravenously divided every 8 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100000"/>
            </w:pPr>
            <w:r>
              <w:rPr>
                <w:snapToGrid w:val="0"/>
                <w:sz w:val="20"/>
                <w:szCs w:val="20"/>
              </w:rPr>
              <w:t>6 g</w:t>
            </w:r>
          </w:p>
        </w:tc>
      </w:tr>
      <w:tr w:rsidR="009D76D3" w:rsidTr="009D76D3"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r>
              <w:rPr>
                <w:snapToGrid w:val="0"/>
                <w:sz w:val="20"/>
                <w:szCs w:val="20"/>
              </w:rPr>
              <w:t>Ceftriaxone</w:t>
            </w:r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cnfStyle w:val="000000000000"/>
            </w:pPr>
            <w:r>
              <w:rPr>
                <w:snapToGrid w:val="0"/>
                <w:sz w:val="20"/>
                <w:szCs w:val="20"/>
              </w:rPr>
              <w:t>100 mg/kg/day intravenously divided every 12 hours or 80 mg/kg/day intravenously every 24 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00000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2-4</w:t>
            </w:r>
            <w:r>
              <w:rPr>
                <w:snapToGrid w:val="0"/>
                <w:sz w:val="20"/>
                <w:szCs w:val="20"/>
                <w:vertAlign w:val="superscript"/>
              </w:rPr>
              <w:t xml:space="preserve">+ </w:t>
            </w:r>
            <w:r>
              <w:rPr>
                <w:snapToGrid w:val="0"/>
                <w:sz w:val="20"/>
                <w:szCs w:val="20"/>
              </w:rPr>
              <w:t>g</w:t>
            </w:r>
          </w:p>
          <w:p w:rsidR="009D76D3" w:rsidRPr="009D76D3" w:rsidRDefault="009D76D3" w:rsidP="009D76D3">
            <w:pPr>
              <w:widowControl w:val="0"/>
              <w:spacing w:line="480" w:lineRule="auto"/>
              <w:cnfStyle w:val="000000000000"/>
              <w:rPr>
                <w:sz w:val="20"/>
                <w:szCs w:val="20"/>
              </w:rPr>
            </w:pPr>
            <w:r w:rsidRPr="009D76D3">
              <w:rPr>
                <w:sz w:val="20"/>
                <w:szCs w:val="20"/>
              </w:rPr>
              <w:t>4 g</w:t>
            </w:r>
          </w:p>
        </w:tc>
      </w:tr>
      <w:tr w:rsidR="009D76D3" w:rsidTr="009D76D3">
        <w:trPr>
          <w:cnfStyle w:val="000000100000"/>
        </w:trPr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r>
              <w:rPr>
                <w:snapToGrid w:val="0"/>
                <w:sz w:val="20"/>
                <w:szCs w:val="20"/>
              </w:rPr>
              <w:t>Gentamicin*</w:t>
            </w:r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100000"/>
            </w:pPr>
            <w:r>
              <w:rPr>
                <w:snapToGrid w:val="0"/>
                <w:sz w:val="20"/>
                <w:szCs w:val="20"/>
              </w:rPr>
              <w:t>3</w:t>
            </w:r>
            <w:r>
              <w:rPr>
                <w:snapToGrid w:val="0"/>
                <w:sz w:val="20"/>
                <w:szCs w:val="20"/>
              </w:rPr>
              <w:noBreakHyphen/>
              <w:t>6 mg/kg/day intravenously divided every 8 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100000"/>
            </w:pPr>
            <w:r>
              <w:rPr>
                <w:snapToGrid w:val="0"/>
                <w:sz w:val="20"/>
                <w:szCs w:val="20"/>
              </w:rPr>
              <w:t>Adults: 3-5 mg/kg</w:t>
            </w:r>
          </w:p>
        </w:tc>
      </w:tr>
      <w:tr w:rsidR="009D76D3" w:rsidTr="009D76D3"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proofErr w:type="spellStart"/>
            <w:r>
              <w:rPr>
                <w:snapToGrid w:val="0"/>
                <w:sz w:val="20"/>
                <w:szCs w:val="20"/>
              </w:rPr>
              <w:t>Nafcillin</w:t>
            </w:r>
            <w:proofErr w:type="spellEnd"/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000000"/>
            </w:pPr>
            <w:r>
              <w:rPr>
                <w:snapToGrid w:val="0"/>
                <w:sz w:val="20"/>
                <w:szCs w:val="20"/>
              </w:rPr>
              <w:t>200 mg/kg/day intravenously divided every 4</w:t>
            </w:r>
            <w:r>
              <w:rPr>
                <w:snapToGrid w:val="0"/>
                <w:sz w:val="20"/>
                <w:szCs w:val="20"/>
              </w:rPr>
              <w:noBreakHyphen/>
              <w:t>6 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000000"/>
            </w:pPr>
            <w:r>
              <w:rPr>
                <w:snapToGrid w:val="0"/>
                <w:sz w:val="20"/>
                <w:szCs w:val="20"/>
              </w:rPr>
              <w:t>12 g</w:t>
            </w:r>
          </w:p>
        </w:tc>
      </w:tr>
      <w:tr w:rsidR="009D76D3" w:rsidTr="009D76D3">
        <w:trPr>
          <w:cnfStyle w:val="000000100000"/>
        </w:trPr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proofErr w:type="spellStart"/>
            <w:r>
              <w:rPr>
                <w:snapToGrid w:val="0"/>
                <w:sz w:val="20"/>
                <w:szCs w:val="20"/>
              </w:rPr>
              <w:t>Oxacillin</w:t>
            </w:r>
            <w:proofErr w:type="spellEnd"/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100000"/>
            </w:pPr>
            <w:r>
              <w:rPr>
                <w:snapToGrid w:val="0"/>
                <w:sz w:val="20"/>
                <w:szCs w:val="20"/>
              </w:rPr>
              <w:t>200 mg/kg/day intravenously divided every 4</w:t>
            </w:r>
            <w:r>
              <w:rPr>
                <w:snapToGrid w:val="0"/>
                <w:sz w:val="20"/>
                <w:szCs w:val="20"/>
              </w:rPr>
              <w:noBreakHyphen/>
              <w:t>6 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100000"/>
            </w:pPr>
            <w:r>
              <w:rPr>
                <w:snapToGrid w:val="0"/>
                <w:sz w:val="20"/>
                <w:szCs w:val="20"/>
              </w:rPr>
              <w:t>12 g</w:t>
            </w:r>
          </w:p>
        </w:tc>
      </w:tr>
      <w:tr w:rsidR="009D76D3" w:rsidTr="009D76D3"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r>
              <w:rPr>
                <w:snapToGrid w:val="0"/>
                <w:sz w:val="20"/>
                <w:szCs w:val="20"/>
              </w:rPr>
              <w:t>Penicillin G</w:t>
            </w:r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cnfStyle w:val="000000000000"/>
            </w:pPr>
            <w:r>
              <w:rPr>
                <w:snapToGrid w:val="0"/>
                <w:sz w:val="20"/>
                <w:szCs w:val="20"/>
              </w:rPr>
              <w:t>200,000</w:t>
            </w:r>
            <w:r>
              <w:rPr>
                <w:snapToGrid w:val="0"/>
                <w:sz w:val="20"/>
                <w:szCs w:val="20"/>
              </w:rPr>
              <w:noBreakHyphen/>
              <w:t>300,000 units/kg/day intravenously divided every 4 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000000"/>
            </w:pPr>
            <w:r>
              <w:rPr>
                <w:snapToGrid w:val="0"/>
                <w:sz w:val="20"/>
                <w:szCs w:val="20"/>
              </w:rPr>
              <w:t>12</w:t>
            </w:r>
            <w:r>
              <w:rPr>
                <w:snapToGrid w:val="0"/>
                <w:sz w:val="20"/>
                <w:szCs w:val="20"/>
              </w:rPr>
              <w:noBreakHyphen/>
              <w:t>24 million units</w:t>
            </w:r>
          </w:p>
        </w:tc>
      </w:tr>
      <w:tr w:rsidR="009D76D3" w:rsidTr="009D76D3">
        <w:trPr>
          <w:cnfStyle w:val="000000100000"/>
        </w:trPr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rPr>
                <w:sz w:val="20"/>
                <w:szCs w:val="20"/>
              </w:rPr>
            </w:pPr>
            <w:r w:rsidRPr="00E97446">
              <w:rPr>
                <w:sz w:val="20"/>
                <w:szCs w:val="20"/>
              </w:rPr>
              <w:t>Rifampin</w:t>
            </w:r>
          </w:p>
          <w:p w:rsidR="009D76D3" w:rsidRPr="00E97446" w:rsidRDefault="009D76D3" w:rsidP="009D76D3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hideMark/>
          </w:tcPr>
          <w:p w:rsidR="009D76D3" w:rsidRPr="00E97446" w:rsidRDefault="009D76D3" w:rsidP="009D76D3">
            <w:pPr>
              <w:cnfStyle w:val="000000100000"/>
              <w:rPr>
                <w:sz w:val="20"/>
                <w:szCs w:val="20"/>
              </w:rPr>
            </w:pPr>
            <w:r w:rsidRPr="00E97446">
              <w:rPr>
                <w:sz w:val="20"/>
                <w:szCs w:val="20"/>
              </w:rPr>
              <w:t>20 mg/kg/day divided every 8 hours</w:t>
            </w:r>
          </w:p>
        </w:tc>
        <w:tc>
          <w:tcPr>
            <w:tcW w:w="1858" w:type="dxa"/>
            <w:hideMark/>
          </w:tcPr>
          <w:p w:rsidR="009D76D3" w:rsidRPr="00E97446" w:rsidRDefault="009D76D3" w:rsidP="009D76D3">
            <w:pPr>
              <w:cnfStyle w:val="000000100000"/>
              <w:rPr>
                <w:sz w:val="20"/>
                <w:szCs w:val="20"/>
              </w:rPr>
            </w:pPr>
            <w:r w:rsidRPr="00E97446">
              <w:rPr>
                <w:sz w:val="20"/>
                <w:szCs w:val="20"/>
              </w:rPr>
              <w:t>900 mg</w:t>
            </w:r>
          </w:p>
        </w:tc>
      </w:tr>
      <w:tr w:rsidR="009D76D3" w:rsidTr="009D76D3"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r>
              <w:rPr>
                <w:snapToGrid w:val="0"/>
                <w:sz w:val="20"/>
                <w:szCs w:val="20"/>
              </w:rPr>
              <w:t>Streptomycin</w:t>
            </w:r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cnfStyle w:val="000000000000"/>
            </w:pPr>
            <w:r>
              <w:rPr>
                <w:snapToGrid w:val="0"/>
                <w:sz w:val="20"/>
                <w:szCs w:val="20"/>
              </w:rPr>
              <w:t>20</w:t>
            </w:r>
            <w:r>
              <w:rPr>
                <w:snapToGrid w:val="0"/>
                <w:sz w:val="20"/>
                <w:szCs w:val="20"/>
              </w:rPr>
              <w:noBreakHyphen/>
              <w:t>40 mg/kg/day intravenously intramuscularly divided every 12 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000000"/>
            </w:pPr>
            <w:r>
              <w:rPr>
                <w:snapToGrid w:val="0"/>
                <w:sz w:val="20"/>
                <w:szCs w:val="20"/>
              </w:rPr>
              <w:t>15 mg/kg/day</w:t>
            </w:r>
          </w:p>
        </w:tc>
      </w:tr>
      <w:tr w:rsidR="009D76D3" w:rsidTr="009D76D3">
        <w:trPr>
          <w:cnfStyle w:val="000000100000"/>
        </w:trPr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r>
              <w:rPr>
                <w:snapToGrid w:val="0"/>
                <w:sz w:val="20"/>
                <w:szCs w:val="20"/>
              </w:rPr>
              <w:t>Tobramycin*</w:t>
            </w:r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100000"/>
            </w:pPr>
            <w:r>
              <w:rPr>
                <w:snapToGrid w:val="0"/>
                <w:sz w:val="20"/>
                <w:szCs w:val="20"/>
              </w:rPr>
              <w:t>3</w:t>
            </w:r>
            <w:r>
              <w:rPr>
                <w:snapToGrid w:val="0"/>
                <w:sz w:val="20"/>
                <w:szCs w:val="20"/>
              </w:rPr>
              <w:noBreakHyphen/>
              <w:t>6 mg/kg/day intravenously divided every 8 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100000"/>
            </w:pPr>
            <w:r>
              <w:rPr>
                <w:snapToGrid w:val="0"/>
                <w:sz w:val="20"/>
                <w:szCs w:val="20"/>
              </w:rPr>
              <w:t>Adults: 3-5 mg/kg</w:t>
            </w:r>
          </w:p>
        </w:tc>
      </w:tr>
      <w:tr w:rsidR="009D76D3" w:rsidTr="009D76D3"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proofErr w:type="spellStart"/>
            <w:r>
              <w:rPr>
                <w:snapToGrid w:val="0"/>
                <w:sz w:val="20"/>
                <w:szCs w:val="20"/>
              </w:rPr>
              <w:t>Vancomycin</w:t>
            </w:r>
            <w:proofErr w:type="spellEnd"/>
            <w:r>
              <w:rPr>
                <w:snapToGrid w:val="0"/>
                <w:sz w:val="20"/>
                <w:szCs w:val="20"/>
              </w:rPr>
              <w:t>*</w:t>
            </w:r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000000"/>
            </w:pPr>
            <w:r>
              <w:rPr>
                <w:snapToGrid w:val="0"/>
                <w:sz w:val="20"/>
                <w:szCs w:val="20"/>
              </w:rPr>
              <w:t>40 mg/kg/day intravenously divided every 8-12  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000000"/>
            </w:pPr>
            <w:r>
              <w:rPr>
                <w:snapToGrid w:val="0"/>
                <w:sz w:val="20"/>
                <w:szCs w:val="20"/>
              </w:rPr>
              <w:t>2 g</w:t>
            </w:r>
          </w:p>
        </w:tc>
      </w:tr>
      <w:tr w:rsidR="009D76D3" w:rsidTr="009D76D3">
        <w:trPr>
          <w:cnfStyle w:val="000000100000"/>
        </w:trPr>
        <w:tc>
          <w:tcPr>
            <w:cnfStyle w:val="001000000000"/>
            <w:tcW w:w="8856" w:type="dxa"/>
            <w:gridSpan w:val="3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r>
              <w:rPr>
                <w:snapToGrid w:val="0"/>
                <w:sz w:val="20"/>
                <w:szCs w:val="20"/>
              </w:rPr>
              <w:t>Suggested dosages of antifungal agents:</w:t>
            </w:r>
          </w:p>
        </w:tc>
      </w:tr>
      <w:tr w:rsidR="009D76D3" w:rsidTr="009D76D3">
        <w:tc>
          <w:tcPr>
            <w:cnfStyle w:val="001000000000"/>
            <w:tcW w:w="1876" w:type="dxa"/>
            <w:hideMark/>
          </w:tcPr>
          <w:p w:rsidR="009D76D3" w:rsidRPr="00E97446" w:rsidRDefault="009D76D3" w:rsidP="009D76D3">
            <w:pPr>
              <w:pStyle w:val="NormalWe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97446">
              <w:rPr>
                <w:snapToGrid w:val="0"/>
                <w:sz w:val="20"/>
                <w:szCs w:val="20"/>
              </w:rPr>
              <w:t>Amphotericin B</w:t>
            </w:r>
          </w:p>
          <w:p w:rsidR="009D76D3" w:rsidRPr="00E97446" w:rsidRDefault="009D76D3" w:rsidP="009D76D3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hideMark/>
          </w:tcPr>
          <w:p w:rsidR="009D76D3" w:rsidRPr="00E97446" w:rsidRDefault="009D76D3" w:rsidP="009D76D3">
            <w:pPr>
              <w:pStyle w:val="NormalWeb"/>
              <w:widowControl w:val="0"/>
              <w:spacing w:before="0" w:beforeAutospacing="0" w:after="0" w:afterAutospacing="0"/>
              <w:cnfStyle w:val="000000000000"/>
              <w:rPr>
                <w:sz w:val="20"/>
                <w:szCs w:val="20"/>
              </w:rPr>
            </w:pPr>
            <w:r w:rsidRPr="00E97446">
              <w:rPr>
                <w:snapToGrid w:val="0"/>
                <w:sz w:val="20"/>
                <w:szCs w:val="20"/>
              </w:rPr>
              <w:t>1 mg/kg/day intravenously administered over 3</w:t>
            </w:r>
            <w:r w:rsidRPr="00E97446">
              <w:rPr>
                <w:snapToGrid w:val="0"/>
                <w:sz w:val="20"/>
                <w:szCs w:val="20"/>
              </w:rPr>
              <w:noBreakHyphen/>
              <w:t>4 hours</w:t>
            </w:r>
          </w:p>
          <w:p w:rsidR="009D76D3" w:rsidRPr="00E97446" w:rsidRDefault="009D76D3" w:rsidP="009D76D3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58" w:type="dxa"/>
            <w:hideMark/>
          </w:tcPr>
          <w:p w:rsidR="009D76D3" w:rsidRDefault="009D76D3" w:rsidP="009D76D3">
            <w:pPr>
              <w:cnfStyle w:val="000000000000"/>
            </w:pPr>
          </w:p>
        </w:tc>
      </w:tr>
      <w:tr w:rsidR="009D76D3" w:rsidTr="009D76D3">
        <w:trPr>
          <w:cnfStyle w:val="000000100000"/>
        </w:trPr>
        <w:tc>
          <w:tcPr>
            <w:cnfStyle w:val="001000000000"/>
            <w:tcW w:w="1876" w:type="dxa"/>
            <w:hideMark/>
          </w:tcPr>
          <w:p w:rsidR="009D76D3" w:rsidRPr="00E97446" w:rsidRDefault="009D76D3" w:rsidP="009D76D3">
            <w:pPr>
              <w:rPr>
                <w:sz w:val="20"/>
                <w:szCs w:val="20"/>
              </w:rPr>
            </w:pPr>
            <w:r w:rsidRPr="00E97446">
              <w:rPr>
                <w:sz w:val="20"/>
                <w:szCs w:val="20"/>
              </w:rPr>
              <w:t>Amphotericin liposomal/lipid associated</w:t>
            </w:r>
          </w:p>
        </w:tc>
        <w:tc>
          <w:tcPr>
            <w:tcW w:w="5122" w:type="dxa"/>
            <w:hideMark/>
          </w:tcPr>
          <w:p w:rsidR="009D76D3" w:rsidRPr="00E97446" w:rsidRDefault="009D76D3" w:rsidP="009D76D3">
            <w:pPr>
              <w:cnfStyle w:val="000000100000"/>
              <w:rPr>
                <w:sz w:val="20"/>
                <w:szCs w:val="20"/>
              </w:rPr>
            </w:pPr>
            <w:r w:rsidRPr="00E97446">
              <w:rPr>
                <w:sz w:val="20"/>
                <w:szCs w:val="20"/>
              </w:rPr>
              <w:t>3-5 mg/kg/day in a single dose</w:t>
            </w:r>
          </w:p>
        </w:tc>
        <w:tc>
          <w:tcPr>
            <w:tcW w:w="1858" w:type="dxa"/>
            <w:hideMark/>
          </w:tcPr>
          <w:p w:rsidR="009D76D3" w:rsidRPr="00E97446" w:rsidRDefault="009D76D3" w:rsidP="009D76D3">
            <w:pPr>
              <w:cnfStyle w:val="000000100000"/>
              <w:rPr>
                <w:sz w:val="20"/>
                <w:szCs w:val="20"/>
              </w:rPr>
            </w:pPr>
            <w:r w:rsidRPr="00E97446">
              <w:rPr>
                <w:sz w:val="20"/>
                <w:szCs w:val="20"/>
              </w:rPr>
              <w:t>3-5mg/</w:t>
            </w:r>
            <w:proofErr w:type="spellStart"/>
            <w:r w:rsidRPr="00E97446">
              <w:rPr>
                <w:sz w:val="20"/>
                <w:szCs w:val="20"/>
              </w:rPr>
              <w:t>kg.day</w:t>
            </w:r>
            <w:proofErr w:type="spellEnd"/>
            <w:r w:rsidRPr="00E97446">
              <w:rPr>
                <w:sz w:val="20"/>
                <w:szCs w:val="20"/>
              </w:rPr>
              <w:t xml:space="preserve"> in a single dose</w:t>
            </w:r>
          </w:p>
        </w:tc>
      </w:tr>
      <w:tr w:rsidR="009D76D3" w:rsidTr="009D76D3">
        <w:tc>
          <w:tcPr>
            <w:cnfStyle w:val="001000000000"/>
            <w:tcW w:w="1876" w:type="dxa"/>
            <w:hideMark/>
          </w:tcPr>
          <w:p w:rsidR="009D76D3" w:rsidRDefault="009D76D3" w:rsidP="009D76D3">
            <w:pPr>
              <w:widowControl w:val="0"/>
              <w:spacing w:line="480" w:lineRule="auto"/>
            </w:pPr>
            <w:proofErr w:type="spellStart"/>
            <w:r>
              <w:rPr>
                <w:snapToGrid w:val="0"/>
                <w:sz w:val="20"/>
                <w:szCs w:val="20"/>
              </w:rPr>
              <w:t>Flucytosine</w:t>
            </w:r>
            <w:proofErr w:type="spellEnd"/>
            <w:r>
              <w:rPr>
                <w:snapToGrid w:val="0"/>
                <w:sz w:val="20"/>
                <w:szCs w:val="20"/>
              </w:rPr>
              <w:t>*</w:t>
            </w:r>
          </w:p>
        </w:tc>
        <w:tc>
          <w:tcPr>
            <w:tcW w:w="5122" w:type="dxa"/>
            <w:hideMark/>
          </w:tcPr>
          <w:p w:rsidR="009D76D3" w:rsidRDefault="009D76D3" w:rsidP="009D76D3">
            <w:pPr>
              <w:widowControl w:val="0"/>
              <w:spacing w:line="480" w:lineRule="auto"/>
              <w:cnfStyle w:val="000000000000"/>
            </w:pPr>
            <w:r>
              <w:rPr>
                <w:snapToGrid w:val="0"/>
                <w:sz w:val="20"/>
                <w:szCs w:val="20"/>
              </w:rPr>
              <w:t>150 mg/kg/day orally divided every 6 hours</w:t>
            </w:r>
          </w:p>
        </w:tc>
        <w:tc>
          <w:tcPr>
            <w:tcW w:w="1858" w:type="dxa"/>
            <w:hideMark/>
          </w:tcPr>
          <w:p w:rsidR="009D76D3" w:rsidRDefault="009D76D3" w:rsidP="009D76D3">
            <w:pPr>
              <w:cnfStyle w:val="000000000000"/>
            </w:pPr>
          </w:p>
        </w:tc>
      </w:tr>
    </w:tbl>
    <w:p w:rsidR="009D76D3" w:rsidRDefault="009D76D3" w:rsidP="009D7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ind w:right="-2160"/>
      </w:pPr>
      <w:r>
        <w:rPr>
          <w:sz w:val="20"/>
          <w:szCs w:val="20"/>
        </w:rPr>
        <w:t>*Dosage adjustment is necessary when there is renal insufficiency.</w:t>
      </w:r>
    </w:p>
    <w:sectPr w:rsidR="009D76D3" w:rsidSect="00375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noPunctuationKerning/>
  <w:characterSpacingControl w:val="doNotCompress"/>
  <w:compat/>
  <w:rsids>
    <w:rsidRoot w:val="009D76D3"/>
    <w:rsid w:val="00094731"/>
    <w:rsid w:val="00114605"/>
    <w:rsid w:val="002D78DA"/>
    <w:rsid w:val="00375B7E"/>
    <w:rsid w:val="004A729B"/>
    <w:rsid w:val="00676130"/>
    <w:rsid w:val="009D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76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76D3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9D76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76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76D3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9D76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Editor</cp:lastModifiedBy>
  <cp:revision>2</cp:revision>
  <dcterms:created xsi:type="dcterms:W3CDTF">2012-11-30T21:03:00Z</dcterms:created>
  <dcterms:modified xsi:type="dcterms:W3CDTF">2012-11-30T21:03:00Z</dcterms:modified>
</cp:coreProperties>
</file>